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5B8" w:rsidRDefault="008D65B8" w:rsidP="008D65B8">
      <w:pPr>
        <w:pStyle w:val="Default"/>
      </w:pPr>
    </w:p>
    <w:p w:rsidR="008D65B8" w:rsidRDefault="008D65B8" w:rsidP="008D65B8">
      <w:pPr>
        <w:pStyle w:val="Default"/>
        <w:jc w:val="center"/>
        <w:rPr>
          <w:b/>
          <w:bCs/>
          <w:sz w:val="72"/>
          <w:szCs w:val="72"/>
        </w:rPr>
      </w:pPr>
    </w:p>
    <w:p w:rsidR="008D65B8" w:rsidRDefault="008D65B8" w:rsidP="008D65B8">
      <w:pPr>
        <w:pStyle w:val="Default"/>
        <w:jc w:val="center"/>
        <w:rPr>
          <w:b/>
          <w:bCs/>
          <w:sz w:val="72"/>
          <w:szCs w:val="72"/>
        </w:rPr>
      </w:pPr>
    </w:p>
    <w:p w:rsidR="008D65B8" w:rsidRDefault="008D65B8" w:rsidP="008D65B8">
      <w:pPr>
        <w:pStyle w:val="Default"/>
        <w:jc w:val="center"/>
        <w:rPr>
          <w:b/>
          <w:bCs/>
          <w:sz w:val="72"/>
          <w:szCs w:val="72"/>
        </w:rPr>
      </w:pPr>
    </w:p>
    <w:p w:rsidR="008D65B8" w:rsidRDefault="008D65B8" w:rsidP="008D65B8">
      <w:pPr>
        <w:pStyle w:val="Default"/>
        <w:jc w:val="center"/>
        <w:rPr>
          <w:b/>
          <w:bCs/>
          <w:sz w:val="72"/>
          <w:szCs w:val="72"/>
        </w:rPr>
      </w:pPr>
    </w:p>
    <w:p w:rsidR="008D65B8" w:rsidRDefault="008D65B8" w:rsidP="008D65B8">
      <w:pPr>
        <w:pStyle w:val="Default"/>
        <w:jc w:val="center"/>
        <w:rPr>
          <w:sz w:val="72"/>
          <w:szCs w:val="72"/>
        </w:rPr>
      </w:pPr>
      <w:r>
        <w:rPr>
          <w:b/>
          <w:bCs/>
          <w:sz w:val="72"/>
          <w:szCs w:val="72"/>
        </w:rPr>
        <w:t>FONDS COMMUNAL D’ENCOURAGEMENT POUR LE DÉVELOPPEMENT DURABLE</w:t>
      </w:r>
    </w:p>
    <w:p w:rsidR="008D65B8" w:rsidRDefault="008D65B8" w:rsidP="008D65B8">
      <w:pPr>
        <w:pStyle w:val="Default"/>
        <w:jc w:val="center"/>
        <w:rPr>
          <w:sz w:val="72"/>
          <w:szCs w:val="72"/>
        </w:rPr>
      </w:pPr>
      <w:r>
        <w:rPr>
          <w:b/>
          <w:bCs/>
          <w:sz w:val="72"/>
          <w:szCs w:val="72"/>
        </w:rPr>
        <w:t>DIRECTIVES MUNICIPALES</w:t>
      </w:r>
    </w:p>
    <w:p w:rsidR="008D65B8" w:rsidRDefault="008D65B8" w:rsidP="008D65B8">
      <w:pPr>
        <w:pStyle w:val="Default"/>
        <w:rPr>
          <w:rFonts w:cstheme="minorBidi"/>
          <w:color w:val="auto"/>
        </w:rPr>
      </w:pPr>
    </w:p>
    <w:p w:rsidR="00DC63FA" w:rsidRDefault="00DC63FA" w:rsidP="008D65B8">
      <w:pPr>
        <w:pStyle w:val="Default"/>
        <w:rPr>
          <w:rFonts w:cstheme="minorBidi"/>
          <w:color w:val="auto"/>
        </w:rPr>
      </w:pPr>
    </w:p>
    <w:p w:rsidR="00DC63FA" w:rsidRDefault="00DC63FA" w:rsidP="008D65B8">
      <w:pPr>
        <w:pStyle w:val="Default"/>
        <w:rPr>
          <w:rFonts w:cstheme="minorBidi"/>
          <w:color w:val="auto"/>
        </w:rPr>
      </w:pPr>
    </w:p>
    <w:p w:rsidR="00DC63FA" w:rsidRDefault="00DC63FA" w:rsidP="008D65B8">
      <w:pPr>
        <w:pStyle w:val="Default"/>
        <w:rPr>
          <w:rFonts w:cstheme="minorBidi"/>
          <w:color w:val="auto"/>
        </w:rPr>
      </w:pPr>
    </w:p>
    <w:p w:rsidR="00DC63FA" w:rsidRDefault="00DC63FA" w:rsidP="008D65B8">
      <w:pPr>
        <w:pStyle w:val="Default"/>
        <w:rPr>
          <w:rFonts w:cstheme="minorBidi"/>
          <w:color w:val="auto"/>
        </w:rPr>
      </w:pPr>
    </w:p>
    <w:p w:rsidR="00DC63FA" w:rsidRDefault="00DC63FA" w:rsidP="008D65B8">
      <w:pPr>
        <w:pStyle w:val="Default"/>
        <w:rPr>
          <w:rFonts w:cstheme="minorBidi"/>
          <w:color w:val="auto"/>
        </w:rPr>
      </w:pPr>
    </w:p>
    <w:p w:rsidR="00DC63FA" w:rsidRDefault="00DC63FA" w:rsidP="008D65B8">
      <w:pPr>
        <w:pStyle w:val="Default"/>
        <w:rPr>
          <w:rFonts w:cstheme="minorBidi"/>
          <w:color w:val="auto"/>
        </w:rPr>
      </w:pPr>
    </w:p>
    <w:p w:rsidR="00DC63FA" w:rsidRDefault="00DC63FA" w:rsidP="008D65B8">
      <w:pPr>
        <w:pStyle w:val="Default"/>
        <w:rPr>
          <w:rFonts w:cstheme="minorBidi"/>
          <w:color w:val="auto"/>
        </w:rPr>
      </w:pPr>
    </w:p>
    <w:p w:rsidR="00DC63FA" w:rsidRDefault="00DC63FA" w:rsidP="008D65B8">
      <w:pPr>
        <w:pStyle w:val="Default"/>
        <w:rPr>
          <w:rFonts w:cstheme="minorBidi"/>
          <w:color w:val="auto"/>
        </w:rPr>
      </w:pPr>
    </w:p>
    <w:p w:rsidR="00DC63FA" w:rsidRDefault="00DC63FA" w:rsidP="008D65B8">
      <w:pPr>
        <w:pStyle w:val="Default"/>
        <w:rPr>
          <w:rFonts w:cstheme="minorBidi"/>
          <w:color w:val="auto"/>
        </w:rPr>
      </w:pPr>
    </w:p>
    <w:p w:rsidR="00DC63FA" w:rsidRDefault="00DC63FA" w:rsidP="008D65B8">
      <w:pPr>
        <w:pStyle w:val="Default"/>
        <w:rPr>
          <w:rFonts w:cstheme="minorBidi"/>
          <w:color w:val="auto"/>
        </w:rPr>
      </w:pPr>
    </w:p>
    <w:p w:rsidR="00DC63FA" w:rsidRDefault="00DC63FA" w:rsidP="008D65B8">
      <w:pPr>
        <w:pStyle w:val="Default"/>
        <w:rPr>
          <w:rFonts w:cstheme="minorBidi"/>
          <w:color w:val="auto"/>
        </w:rPr>
      </w:pPr>
    </w:p>
    <w:p w:rsidR="00DC63FA" w:rsidRDefault="00DC63FA" w:rsidP="008D65B8">
      <w:pPr>
        <w:pStyle w:val="Default"/>
        <w:rPr>
          <w:rFonts w:cstheme="minorBidi"/>
          <w:color w:val="auto"/>
        </w:rPr>
      </w:pPr>
    </w:p>
    <w:p w:rsidR="00DC63FA" w:rsidRDefault="00DC63FA" w:rsidP="008D65B8">
      <w:pPr>
        <w:pStyle w:val="Default"/>
        <w:rPr>
          <w:rFonts w:cstheme="minorBidi"/>
          <w:color w:val="auto"/>
        </w:rPr>
      </w:pPr>
    </w:p>
    <w:p w:rsidR="00DC63FA" w:rsidRDefault="00DC63FA" w:rsidP="008D65B8">
      <w:pPr>
        <w:pStyle w:val="Default"/>
        <w:rPr>
          <w:rFonts w:cstheme="minorBidi"/>
          <w:color w:val="auto"/>
        </w:rPr>
      </w:pPr>
    </w:p>
    <w:p w:rsidR="00DC63FA" w:rsidRDefault="00DC63FA" w:rsidP="008D65B8">
      <w:pPr>
        <w:pStyle w:val="Default"/>
        <w:rPr>
          <w:rFonts w:cstheme="minorBidi"/>
          <w:color w:val="auto"/>
        </w:rPr>
      </w:pPr>
    </w:p>
    <w:p w:rsidR="00DC63FA" w:rsidRDefault="00DC63FA" w:rsidP="008D65B8">
      <w:pPr>
        <w:pStyle w:val="Default"/>
        <w:rPr>
          <w:rFonts w:cstheme="minorBidi"/>
          <w:color w:val="auto"/>
        </w:rPr>
      </w:pPr>
    </w:p>
    <w:p w:rsidR="00DC63FA" w:rsidRDefault="008D65B8" w:rsidP="008D65B8">
      <w:pPr>
        <w:pStyle w:val="Default"/>
        <w:pageBreakBefore/>
        <w:rPr>
          <w:rFonts w:cstheme="minorBidi"/>
          <w:color w:val="auto"/>
          <w:sz w:val="26"/>
          <w:szCs w:val="26"/>
        </w:rPr>
      </w:pPr>
      <w:r>
        <w:rPr>
          <w:rFonts w:cstheme="minorBidi"/>
          <w:b/>
          <w:bCs/>
          <w:color w:val="auto"/>
          <w:sz w:val="26"/>
          <w:szCs w:val="26"/>
        </w:rPr>
        <w:lastRenderedPageBreak/>
        <w:t xml:space="preserve">Article premier - Bénéficiaires </w:t>
      </w:r>
    </w:p>
    <w:p w:rsidR="008D65B8" w:rsidRDefault="008D65B8" w:rsidP="008D65B8">
      <w:pPr>
        <w:pStyle w:val="Default"/>
        <w:rPr>
          <w:color w:val="auto"/>
          <w:sz w:val="26"/>
          <w:szCs w:val="26"/>
        </w:rPr>
      </w:pPr>
      <w:r>
        <w:rPr>
          <w:color w:val="auto"/>
          <w:sz w:val="26"/>
          <w:szCs w:val="26"/>
        </w:rPr>
        <w:t xml:space="preserve">Les mesures d’encouragement définies par les présentes dispositions, au sens de l’article 5 du règlement du « Fonds communal d’encouragement pour le développement durable », sont destinées à toutes les personnes morales ou physiques pour des projets situés sur le territoire communal de Giez, à l’exclusion du Canton et de la Confédération. </w:t>
      </w:r>
    </w:p>
    <w:p w:rsidR="008D65B8" w:rsidRDefault="008D65B8" w:rsidP="008D65B8">
      <w:pPr>
        <w:pStyle w:val="Default"/>
        <w:rPr>
          <w:color w:val="auto"/>
          <w:sz w:val="26"/>
          <w:szCs w:val="26"/>
        </w:rPr>
      </w:pPr>
      <w:r>
        <w:rPr>
          <w:color w:val="auto"/>
          <w:sz w:val="26"/>
          <w:szCs w:val="26"/>
        </w:rPr>
        <w:t xml:space="preserve">Des projets des services communaux peuvent également être subventionnés par ce Fonds. </w:t>
      </w:r>
    </w:p>
    <w:p w:rsidR="008D65B8" w:rsidRDefault="008D65B8" w:rsidP="008D65B8">
      <w:pPr>
        <w:pStyle w:val="Default"/>
        <w:rPr>
          <w:b/>
          <w:bCs/>
          <w:color w:val="auto"/>
          <w:sz w:val="26"/>
          <w:szCs w:val="26"/>
        </w:rPr>
      </w:pPr>
    </w:p>
    <w:p w:rsidR="008D65B8" w:rsidRDefault="008D65B8" w:rsidP="008D65B8">
      <w:pPr>
        <w:pStyle w:val="Default"/>
        <w:rPr>
          <w:color w:val="auto"/>
          <w:sz w:val="26"/>
          <w:szCs w:val="26"/>
        </w:rPr>
      </w:pPr>
      <w:r>
        <w:rPr>
          <w:b/>
          <w:bCs/>
          <w:color w:val="auto"/>
          <w:sz w:val="26"/>
          <w:szCs w:val="26"/>
        </w:rPr>
        <w:t xml:space="preserve">Art. 2 – Montant de la taxe </w:t>
      </w:r>
    </w:p>
    <w:p w:rsidR="008D65B8" w:rsidRDefault="008D65B8" w:rsidP="008D65B8">
      <w:pPr>
        <w:pStyle w:val="Default"/>
        <w:rPr>
          <w:color w:val="auto"/>
          <w:sz w:val="26"/>
          <w:szCs w:val="26"/>
        </w:rPr>
      </w:pPr>
      <w:r>
        <w:rPr>
          <w:color w:val="auto"/>
          <w:sz w:val="26"/>
          <w:szCs w:val="26"/>
        </w:rPr>
        <w:t xml:space="preserve">La taxe s’élève à 0.3 ct le kWh. </w:t>
      </w:r>
    </w:p>
    <w:p w:rsidR="008D65B8" w:rsidRDefault="008D65B8" w:rsidP="008D65B8">
      <w:pPr>
        <w:pStyle w:val="Default"/>
        <w:rPr>
          <w:b/>
          <w:bCs/>
          <w:color w:val="auto"/>
          <w:sz w:val="26"/>
          <w:szCs w:val="26"/>
        </w:rPr>
      </w:pPr>
    </w:p>
    <w:p w:rsidR="008D65B8" w:rsidRDefault="008D65B8" w:rsidP="008D65B8">
      <w:pPr>
        <w:pStyle w:val="Default"/>
        <w:rPr>
          <w:color w:val="auto"/>
          <w:sz w:val="26"/>
          <w:szCs w:val="26"/>
        </w:rPr>
      </w:pPr>
      <w:r>
        <w:rPr>
          <w:b/>
          <w:bCs/>
          <w:color w:val="auto"/>
          <w:sz w:val="26"/>
          <w:szCs w:val="26"/>
        </w:rPr>
        <w:t xml:space="preserve">Art. 3 – Conditions générales du subventionnement </w:t>
      </w:r>
    </w:p>
    <w:p w:rsidR="008D65B8" w:rsidRDefault="008D65B8" w:rsidP="008D65B8">
      <w:pPr>
        <w:pStyle w:val="Default"/>
        <w:rPr>
          <w:color w:val="auto"/>
          <w:sz w:val="26"/>
          <w:szCs w:val="26"/>
        </w:rPr>
      </w:pPr>
      <w:r>
        <w:rPr>
          <w:color w:val="auto"/>
          <w:sz w:val="26"/>
          <w:szCs w:val="26"/>
        </w:rPr>
        <w:t xml:space="preserve">Sous réserve des disponibilités du Fonds, les subventions sont en principe octroyées conformément aux conditions exposées dans le tableau annexé intitulé : « Programme d’attribution des subventions ». </w:t>
      </w:r>
    </w:p>
    <w:p w:rsidR="008D65B8" w:rsidRDefault="008D65B8" w:rsidP="008D65B8">
      <w:pPr>
        <w:pStyle w:val="Default"/>
        <w:rPr>
          <w:color w:val="auto"/>
          <w:sz w:val="26"/>
          <w:szCs w:val="26"/>
        </w:rPr>
      </w:pPr>
      <w:r>
        <w:rPr>
          <w:color w:val="auto"/>
          <w:sz w:val="26"/>
          <w:szCs w:val="26"/>
        </w:rPr>
        <w:t xml:space="preserve">Il est possible d’envisager des contributions non prévues dans le programme d’attribution. </w:t>
      </w:r>
    </w:p>
    <w:p w:rsidR="008D65B8" w:rsidRDefault="008D65B8" w:rsidP="008D65B8">
      <w:pPr>
        <w:pStyle w:val="Default"/>
        <w:rPr>
          <w:color w:val="auto"/>
          <w:sz w:val="26"/>
          <w:szCs w:val="26"/>
        </w:rPr>
      </w:pPr>
      <w:r>
        <w:rPr>
          <w:color w:val="auto"/>
          <w:sz w:val="26"/>
          <w:szCs w:val="26"/>
        </w:rPr>
        <w:t xml:space="preserve">Toutes les demandes doivent être faites au moyen des formulaires communaux établis à cet effet. Les demandes non datées, non signées ou incomplètes ne pourront être prises en considération. </w:t>
      </w:r>
    </w:p>
    <w:p w:rsidR="008D65B8" w:rsidRPr="00522A6A" w:rsidRDefault="001D215B" w:rsidP="00522A6A">
      <w:pPr>
        <w:pStyle w:val="Default"/>
        <w:rPr>
          <w:color w:val="auto"/>
          <w:sz w:val="26"/>
          <w:szCs w:val="26"/>
        </w:rPr>
      </w:pPr>
      <w:r w:rsidRPr="00522A6A">
        <w:rPr>
          <w:color w:val="auto"/>
          <w:sz w:val="26"/>
          <w:szCs w:val="26"/>
        </w:rPr>
        <w:t xml:space="preserve">La </w:t>
      </w:r>
      <w:r w:rsidR="008D65B8" w:rsidRPr="00522A6A">
        <w:rPr>
          <w:color w:val="auto"/>
          <w:sz w:val="26"/>
          <w:szCs w:val="26"/>
        </w:rPr>
        <w:t>Municipalité, examine toutes les demandes, en juge la pertinence et la cohérence par rapport au développement durable, dans les trois mois qui suivent leur dépôt</w:t>
      </w:r>
      <w:r w:rsidRPr="00522A6A">
        <w:rPr>
          <w:color w:val="auto"/>
          <w:sz w:val="26"/>
          <w:szCs w:val="26"/>
        </w:rPr>
        <w:t>.</w:t>
      </w:r>
      <w:r w:rsidR="008D65B8" w:rsidRPr="00522A6A">
        <w:rPr>
          <w:color w:val="auto"/>
          <w:sz w:val="26"/>
          <w:szCs w:val="26"/>
        </w:rPr>
        <w:t xml:space="preserve"> </w:t>
      </w:r>
    </w:p>
    <w:p w:rsidR="008D65B8" w:rsidRDefault="008D65B8" w:rsidP="00522A6A">
      <w:pPr>
        <w:pStyle w:val="Default"/>
        <w:rPr>
          <w:color w:val="auto"/>
          <w:sz w:val="26"/>
          <w:szCs w:val="26"/>
        </w:rPr>
      </w:pPr>
      <w:r w:rsidRPr="00522A6A">
        <w:rPr>
          <w:color w:val="auto"/>
          <w:sz w:val="26"/>
          <w:szCs w:val="26"/>
        </w:rPr>
        <w:t xml:space="preserve">La </w:t>
      </w:r>
      <w:r w:rsidR="001D215B" w:rsidRPr="00522A6A">
        <w:rPr>
          <w:color w:val="auto"/>
          <w:sz w:val="26"/>
          <w:szCs w:val="26"/>
        </w:rPr>
        <w:t xml:space="preserve">Municipalité </w:t>
      </w:r>
      <w:r w:rsidRPr="00522A6A">
        <w:rPr>
          <w:color w:val="auto"/>
          <w:sz w:val="26"/>
          <w:szCs w:val="26"/>
        </w:rPr>
        <w:t>se réserve le droit de demander un justificatif sur l’efficacité énergétique des mesures d’assainissement.</w:t>
      </w:r>
      <w:r>
        <w:rPr>
          <w:color w:val="auto"/>
          <w:sz w:val="26"/>
          <w:szCs w:val="26"/>
        </w:rPr>
        <w:t xml:space="preserve"> </w:t>
      </w:r>
    </w:p>
    <w:p w:rsidR="008D65B8" w:rsidRDefault="008D65B8" w:rsidP="008D65B8">
      <w:pPr>
        <w:pStyle w:val="Default"/>
        <w:rPr>
          <w:color w:val="auto"/>
          <w:sz w:val="26"/>
          <w:szCs w:val="26"/>
        </w:rPr>
      </w:pPr>
      <w:r>
        <w:rPr>
          <w:color w:val="auto"/>
          <w:sz w:val="26"/>
          <w:szCs w:val="26"/>
        </w:rPr>
        <w:t xml:space="preserve">Le cumul de subventions est possible (Confédération, Canton, Commune). </w:t>
      </w:r>
    </w:p>
    <w:p w:rsidR="00522A6A" w:rsidRDefault="008D65B8" w:rsidP="008D65B8">
      <w:pPr>
        <w:pStyle w:val="Default"/>
        <w:rPr>
          <w:color w:val="auto"/>
          <w:sz w:val="26"/>
          <w:szCs w:val="26"/>
        </w:rPr>
      </w:pPr>
      <w:r>
        <w:rPr>
          <w:color w:val="auto"/>
          <w:sz w:val="26"/>
          <w:szCs w:val="26"/>
        </w:rPr>
        <w:t>Pour pouvoir bénéficier d’une subvention, l’exécution des travaux de la catégorie</w:t>
      </w:r>
    </w:p>
    <w:p w:rsidR="008D65B8" w:rsidRDefault="008D65B8" w:rsidP="008D65B8">
      <w:pPr>
        <w:pStyle w:val="Default"/>
        <w:rPr>
          <w:color w:val="auto"/>
          <w:sz w:val="26"/>
          <w:szCs w:val="26"/>
        </w:rPr>
      </w:pPr>
      <w:r>
        <w:rPr>
          <w:color w:val="auto"/>
          <w:sz w:val="26"/>
          <w:szCs w:val="26"/>
        </w:rPr>
        <w:t xml:space="preserve"> « bâtiments existants » ne devrait pas débuter avant l’obtention de l’accusé de réception du dossier de demande de subventionnement</w:t>
      </w:r>
      <w:r w:rsidRPr="001D215B">
        <w:rPr>
          <w:color w:val="auto"/>
          <w:sz w:val="26"/>
          <w:szCs w:val="26"/>
        </w:rPr>
        <w:t xml:space="preserve">. </w:t>
      </w:r>
      <w:r w:rsidRPr="00522A6A">
        <w:rPr>
          <w:color w:val="auto"/>
          <w:sz w:val="26"/>
          <w:szCs w:val="26"/>
        </w:rPr>
        <w:t xml:space="preserve">La </w:t>
      </w:r>
      <w:r w:rsidR="001D215B" w:rsidRPr="00522A6A">
        <w:rPr>
          <w:color w:val="auto"/>
          <w:sz w:val="26"/>
          <w:szCs w:val="26"/>
        </w:rPr>
        <w:t>Municipalité</w:t>
      </w:r>
      <w:r w:rsidRPr="001D215B">
        <w:rPr>
          <w:color w:val="auto"/>
          <w:sz w:val="26"/>
          <w:szCs w:val="26"/>
        </w:rPr>
        <w:t xml:space="preserve"> se</w:t>
      </w:r>
      <w:r>
        <w:rPr>
          <w:color w:val="auto"/>
          <w:sz w:val="26"/>
          <w:szCs w:val="26"/>
        </w:rPr>
        <w:t xml:space="preserve"> réserve le droit de refuser l’octroi de subvention dans le cas où les travaux auraient déjà été effectués avant l’obtention de l’accusé de réception. </w:t>
      </w:r>
    </w:p>
    <w:p w:rsidR="008D65B8" w:rsidRDefault="008D65B8" w:rsidP="008D65B8">
      <w:pPr>
        <w:pStyle w:val="Default"/>
        <w:rPr>
          <w:color w:val="auto"/>
          <w:sz w:val="26"/>
          <w:szCs w:val="26"/>
        </w:rPr>
      </w:pPr>
      <w:r>
        <w:rPr>
          <w:color w:val="auto"/>
          <w:sz w:val="26"/>
          <w:szCs w:val="26"/>
        </w:rPr>
        <w:t xml:space="preserve">La décision d’octroi ou de refus d’une aide fait l’objet d’un courrier séparé, mentionnant la décision de la Municipalité et, le cas échéant, le montant attribué. </w:t>
      </w:r>
    </w:p>
    <w:p w:rsidR="008D65B8" w:rsidRDefault="008D65B8" w:rsidP="008D65B8">
      <w:pPr>
        <w:pStyle w:val="Default"/>
        <w:rPr>
          <w:rFonts w:ascii="Times New Roman" w:hAnsi="Times New Roman" w:cs="Times New Roman"/>
          <w:color w:val="auto"/>
          <w:sz w:val="23"/>
          <w:szCs w:val="23"/>
        </w:rPr>
      </w:pPr>
      <w:r>
        <w:rPr>
          <w:color w:val="auto"/>
          <w:sz w:val="26"/>
          <w:szCs w:val="26"/>
        </w:rPr>
        <w:t>L’ensemble des subventions est susceptible d’être suspendu en tout temps en fonction du nombre de demandes et des recettes du Fonds.</w:t>
      </w:r>
      <w:r>
        <w:rPr>
          <w:rFonts w:ascii="Times New Roman" w:hAnsi="Times New Roman" w:cs="Times New Roman"/>
          <w:color w:val="auto"/>
          <w:sz w:val="23"/>
          <w:szCs w:val="23"/>
        </w:rPr>
        <w:t xml:space="preserve"> </w:t>
      </w:r>
    </w:p>
    <w:p w:rsidR="008D65B8" w:rsidRDefault="008D65B8" w:rsidP="008D65B8">
      <w:pPr>
        <w:pStyle w:val="Default"/>
        <w:rPr>
          <w:rFonts w:cstheme="minorBidi"/>
          <w:color w:val="auto"/>
        </w:rPr>
      </w:pPr>
    </w:p>
    <w:p w:rsidR="008D65B8" w:rsidRDefault="008D65B8" w:rsidP="008D65B8">
      <w:pPr>
        <w:pStyle w:val="Default"/>
        <w:pageBreakBefore/>
        <w:rPr>
          <w:rFonts w:cstheme="minorBidi"/>
          <w:color w:val="auto"/>
          <w:sz w:val="26"/>
          <w:szCs w:val="26"/>
        </w:rPr>
      </w:pPr>
      <w:r>
        <w:rPr>
          <w:rFonts w:cstheme="minorBidi"/>
          <w:b/>
          <w:bCs/>
          <w:color w:val="auto"/>
          <w:sz w:val="26"/>
          <w:szCs w:val="26"/>
        </w:rPr>
        <w:lastRenderedPageBreak/>
        <w:t xml:space="preserve">Art. 4 – Dépôt de la demande </w:t>
      </w:r>
    </w:p>
    <w:p w:rsidR="008D65B8" w:rsidRDefault="008D65B8" w:rsidP="008D65B8">
      <w:pPr>
        <w:pStyle w:val="Default"/>
        <w:rPr>
          <w:color w:val="auto"/>
          <w:sz w:val="26"/>
          <w:szCs w:val="26"/>
        </w:rPr>
      </w:pPr>
      <w:r>
        <w:rPr>
          <w:color w:val="auto"/>
          <w:sz w:val="26"/>
          <w:szCs w:val="26"/>
        </w:rPr>
        <w:t xml:space="preserve">Pour être prises en compte, les demandes (projets ou acquisitions) doivent être accompagnés du formulaire communal concernant le type de requête ainsi que de ses annexes. Ils doivent également répondre aux critères suivants : </w:t>
      </w:r>
    </w:p>
    <w:p w:rsidR="008C6F15" w:rsidRDefault="008C6F15" w:rsidP="008D65B8">
      <w:pPr>
        <w:pStyle w:val="Default"/>
        <w:rPr>
          <w:color w:val="auto"/>
          <w:sz w:val="26"/>
          <w:szCs w:val="26"/>
        </w:rPr>
      </w:pPr>
    </w:p>
    <w:p w:rsidR="008D65B8" w:rsidRDefault="008D65B8" w:rsidP="008D65B8">
      <w:pPr>
        <w:pStyle w:val="Default"/>
        <w:spacing w:after="25"/>
        <w:rPr>
          <w:color w:val="auto"/>
          <w:sz w:val="26"/>
          <w:szCs w:val="26"/>
        </w:rPr>
      </w:pPr>
      <w:r>
        <w:rPr>
          <w:color w:val="auto"/>
          <w:sz w:val="26"/>
          <w:szCs w:val="26"/>
        </w:rPr>
        <w:t xml:space="preserve">a) être conformes aux conditions de l’article 5 du règlement ; </w:t>
      </w:r>
    </w:p>
    <w:p w:rsidR="008D65B8" w:rsidRDefault="008D65B8" w:rsidP="008D65B8">
      <w:pPr>
        <w:pStyle w:val="Default"/>
        <w:spacing w:after="25"/>
        <w:rPr>
          <w:color w:val="auto"/>
          <w:sz w:val="26"/>
          <w:szCs w:val="26"/>
        </w:rPr>
      </w:pPr>
      <w:r>
        <w:rPr>
          <w:color w:val="auto"/>
          <w:sz w:val="26"/>
          <w:szCs w:val="26"/>
        </w:rPr>
        <w:t xml:space="preserve">b) indiquer clairement les résultats attendus ; </w:t>
      </w:r>
    </w:p>
    <w:p w:rsidR="008D65B8" w:rsidRDefault="008D65B8" w:rsidP="008D65B8">
      <w:pPr>
        <w:pStyle w:val="Default"/>
        <w:rPr>
          <w:color w:val="auto"/>
          <w:sz w:val="26"/>
          <w:szCs w:val="26"/>
        </w:rPr>
      </w:pPr>
      <w:r>
        <w:rPr>
          <w:color w:val="auto"/>
          <w:sz w:val="26"/>
          <w:szCs w:val="26"/>
        </w:rPr>
        <w:t xml:space="preserve">c) permettre un contrôle du résultat obtenu. </w:t>
      </w:r>
    </w:p>
    <w:p w:rsidR="008D65B8" w:rsidRDefault="008D65B8" w:rsidP="008D65B8">
      <w:pPr>
        <w:pStyle w:val="Default"/>
        <w:rPr>
          <w:color w:val="auto"/>
          <w:sz w:val="26"/>
          <w:szCs w:val="26"/>
        </w:rPr>
      </w:pPr>
    </w:p>
    <w:p w:rsidR="001D215B" w:rsidRDefault="008D65B8" w:rsidP="008D65B8">
      <w:pPr>
        <w:pStyle w:val="Default"/>
        <w:rPr>
          <w:color w:val="auto"/>
          <w:sz w:val="26"/>
          <w:szCs w:val="26"/>
        </w:rPr>
      </w:pPr>
      <w:r>
        <w:rPr>
          <w:color w:val="auto"/>
          <w:sz w:val="26"/>
          <w:szCs w:val="26"/>
        </w:rPr>
        <w:t xml:space="preserve">Les documents sont à transmettre par écrit à </w:t>
      </w:r>
    </w:p>
    <w:p w:rsidR="008D65B8" w:rsidRDefault="008D65B8" w:rsidP="008D65B8">
      <w:pPr>
        <w:pStyle w:val="Default"/>
        <w:rPr>
          <w:color w:val="auto"/>
          <w:sz w:val="26"/>
          <w:szCs w:val="26"/>
        </w:rPr>
      </w:pPr>
      <w:r>
        <w:rPr>
          <w:color w:val="auto"/>
          <w:sz w:val="26"/>
          <w:szCs w:val="26"/>
        </w:rPr>
        <w:t>Commune de Giez, Place du Collège 1429 Giez</w:t>
      </w:r>
    </w:p>
    <w:p w:rsidR="008D65B8" w:rsidRDefault="008D65B8" w:rsidP="008D65B8">
      <w:pPr>
        <w:pStyle w:val="Default"/>
        <w:rPr>
          <w:b/>
          <w:bCs/>
          <w:color w:val="auto"/>
          <w:sz w:val="26"/>
          <w:szCs w:val="26"/>
        </w:rPr>
      </w:pPr>
    </w:p>
    <w:p w:rsidR="008D65B8" w:rsidRDefault="008D65B8" w:rsidP="008D65B8">
      <w:pPr>
        <w:pStyle w:val="Default"/>
        <w:rPr>
          <w:color w:val="auto"/>
          <w:sz w:val="26"/>
          <w:szCs w:val="26"/>
        </w:rPr>
      </w:pPr>
      <w:r>
        <w:rPr>
          <w:b/>
          <w:bCs/>
          <w:color w:val="auto"/>
          <w:sz w:val="26"/>
          <w:szCs w:val="26"/>
        </w:rPr>
        <w:t xml:space="preserve">Art. 5 – Durée de l’aide </w:t>
      </w:r>
    </w:p>
    <w:p w:rsidR="008D65B8" w:rsidRDefault="008D65B8" w:rsidP="008D65B8">
      <w:pPr>
        <w:pStyle w:val="Default"/>
        <w:rPr>
          <w:color w:val="auto"/>
          <w:sz w:val="26"/>
          <w:szCs w:val="26"/>
        </w:rPr>
      </w:pPr>
      <w:r>
        <w:rPr>
          <w:color w:val="auto"/>
          <w:sz w:val="26"/>
          <w:szCs w:val="26"/>
        </w:rPr>
        <w:t xml:space="preserve">L’aide accordée est promise pour une durée de deux ans à compter de la décision positive de la Municipalité. </w:t>
      </w:r>
    </w:p>
    <w:p w:rsidR="008D65B8" w:rsidRDefault="008D65B8" w:rsidP="008D65B8">
      <w:pPr>
        <w:pStyle w:val="Default"/>
        <w:rPr>
          <w:color w:val="auto"/>
          <w:sz w:val="26"/>
          <w:szCs w:val="26"/>
        </w:rPr>
      </w:pPr>
      <w:r>
        <w:rPr>
          <w:color w:val="auto"/>
          <w:sz w:val="26"/>
          <w:szCs w:val="26"/>
        </w:rPr>
        <w:t xml:space="preserve">Les travaux doivent être achevés dans ce délai. Passé ce délai, l’engagement de la Commune devient caduc. </w:t>
      </w:r>
    </w:p>
    <w:p w:rsidR="008D65B8" w:rsidRDefault="008D65B8" w:rsidP="008D65B8">
      <w:pPr>
        <w:pStyle w:val="Default"/>
        <w:rPr>
          <w:b/>
          <w:bCs/>
          <w:color w:val="auto"/>
          <w:sz w:val="26"/>
          <w:szCs w:val="26"/>
        </w:rPr>
      </w:pPr>
      <w:bookmarkStart w:id="0" w:name="_GoBack"/>
      <w:bookmarkEnd w:id="0"/>
    </w:p>
    <w:p w:rsidR="008D65B8" w:rsidRDefault="008D65B8" w:rsidP="008D65B8">
      <w:pPr>
        <w:pStyle w:val="Default"/>
        <w:rPr>
          <w:color w:val="auto"/>
          <w:sz w:val="26"/>
          <w:szCs w:val="26"/>
        </w:rPr>
      </w:pPr>
      <w:r>
        <w:rPr>
          <w:b/>
          <w:bCs/>
          <w:color w:val="auto"/>
          <w:sz w:val="26"/>
          <w:szCs w:val="26"/>
        </w:rPr>
        <w:t xml:space="preserve">Art. 6 – Contrôle des travaux </w:t>
      </w:r>
    </w:p>
    <w:p w:rsidR="008D65B8" w:rsidRDefault="006B3759" w:rsidP="008D65B8">
      <w:pPr>
        <w:pStyle w:val="Default"/>
        <w:rPr>
          <w:color w:val="auto"/>
          <w:sz w:val="26"/>
          <w:szCs w:val="26"/>
        </w:rPr>
      </w:pPr>
      <w:r w:rsidRPr="00DC63FA">
        <w:rPr>
          <w:color w:val="auto"/>
          <w:sz w:val="26"/>
          <w:szCs w:val="26"/>
        </w:rPr>
        <w:t xml:space="preserve">La Municipalité désigne une personne délégué pour reconnaître les actions ou travaux exécutés. </w:t>
      </w:r>
      <w:r w:rsidR="008D65B8" w:rsidRPr="00DC63FA">
        <w:rPr>
          <w:color w:val="auto"/>
          <w:sz w:val="26"/>
          <w:szCs w:val="26"/>
        </w:rPr>
        <w:t>Le bénéficiaire d’une aide financière ne peut s’opposer à une reconnaissance des</w:t>
      </w:r>
      <w:r w:rsidR="008D65B8" w:rsidRPr="006B3759">
        <w:rPr>
          <w:color w:val="auto"/>
          <w:sz w:val="26"/>
          <w:szCs w:val="26"/>
        </w:rPr>
        <w:t xml:space="preserve"> travaux ou des actions, pendant et/ou après la réalisation des travaux.</w:t>
      </w:r>
      <w:r w:rsidR="008D65B8">
        <w:rPr>
          <w:color w:val="auto"/>
          <w:sz w:val="26"/>
          <w:szCs w:val="26"/>
        </w:rPr>
        <w:t xml:space="preserve"> </w:t>
      </w:r>
    </w:p>
    <w:p w:rsidR="008D65B8" w:rsidRDefault="008D65B8" w:rsidP="008D65B8">
      <w:pPr>
        <w:pStyle w:val="Default"/>
        <w:rPr>
          <w:color w:val="auto"/>
          <w:sz w:val="26"/>
          <w:szCs w:val="26"/>
        </w:rPr>
      </w:pPr>
      <w:r>
        <w:rPr>
          <w:color w:val="auto"/>
          <w:sz w:val="26"/>
          <w:szCs w:val="26"/>
        </w:rPr>
        <w:t xml:space="preserve">S’il est impossible, par la faute du requérant, de procéder à cette reconnaissance, la Municipalité peut révoquer tout ou partie de l’aide promise. </w:t>
      </w:r>
    </w:p>
    <w:p w:rsidR="008D65B8" w:rsidRDefault="008D65B8" w:rsidP="008D65B8">
      <w:pPr>
        <w:pStyle w:val="Default"/>
        <w:rPr>
          <w:b/>
          <w:bCs/>
          <w:color w:val="auto"/>
          <w:sz w:val="26"/>
          <w:szCs w:val="26"/>
        </w:rPr>
      </w:pPr>
    </w:p>
    <w:p w:rsidR="008D65B8" w:rsidRDefault="008D65B8" w:rsidP="008D65B8">
      <w:pPr>
        <w:pStyle w:val="Default"/>
        <w:rPr>
          <w:color w:val="auto"/>
          <w:sz w:val="26"/>
          <w:szCs w:val="26"/>
        </w:rPr>
      </w:pPr>
      <w:r>
        <w:rPr>
          <w:b/>
          <w:bCs/>
          <w:color w:val="auto"/>
          <w:sz w:val="26"/>
          <w:szCs w:val="26"/>
        </w:rPr>
        <w:t xml:space="preserve">Art. 7 – Décompte final </w:t>
      </w:r>
    </w:p>
    <w:p w:rsidR="008D65B8" w:rsidRDefault="008D65B8" w:rsidP="008D65B8">
      <w:pPr>
        <w:pStyle w:val="Default"/>
        <w:rPr>
          <w:color w:val="auto"/>
          <w:sz w:val="26"/>
          <w:szCs w:val="26"/>
        </w:rPr>
      </w:pPr>
      <w:r>
        <w:rPr>
          <w:color w:val="auto"/>
          <w:sz w:val="26"/>
          <w:szCs w:val="26"/>
        </w:rPr>
        <w:t xml:space="preserve">Dans les trois mois suivant la fin des actions ou des travaux, le requérant doit présenter les factures honorées et le décompte des actions ou des travaux pour obtenir le versement de l’aide promise. </w:t>
      </w:r>
    </w:p>
    <w:p w:rsidR="008D65B8" w:rsidRDefault="008D65B8" w:rsidP="008D65B8">
      <w:pPr>
        <w:pStyle w:val="Default"/>
        <w:rPr>
          <w:color w:val="auto"/>
          <w:sz w:val="26"/>
          <w:szCs w:val="26"/>
        </w:rPr>
      </w:pPr>
      <w:r>
        <w:rPr>
          <w:color w:val="auto"/>
          <w:sz w:val="26"/>
          <w:szCs w:val="26"/>
        </w:rPr>
        <w:t xml:space="preserve">Pour les travaux de la catégorie « Bâtiments / Rénovation », l’avis de subvention du Canton doit être joint au dossier. </w:t>
      </w:r>
    </w:p>
    <w:p w:rsidR="008D65B8" w:rsidRDefault="008D65B8" w:rsidP="008D65B8">
      <w:pPr>
        <w:pStyle w:val="Default"/>
        <w:rPr>
          <w:color w:val="auto"/>
          <w:sz w:val="26"/>
          <w:szCs w:val="26"/>
        </w:rPr>
      </w:pPr>
      <w:r>
        <w:rPr>
          <w:color w:val="auto"/>
          <w:sz w:val="26"/>
          <w:szCs w:val="26"/>
        </w:rPr>
        <w:t xml:space="preserve">Si le montant du devis est dépassé, l’aide allouée n’est pas modifiée et demeure celle promise par la décision de la Municipalité mentionnée à l’art. 3, al. 8. Si les frais engagés sont inférieurs, l’aide allouée sera adaptée prorata. </w:t>
      </w:r>
    </w:p>
    <w:p w:rsidR="008D65B8" w:rsidRDefault="008D65B8" w:rsidP="008D65B8">
      <w:pPr>
        <w:pStyle w:val="Default"/>
        <w:rPr>
          <w:b/>
          <w:bCs/>
          <w:color w:val="auto"/>
          <w:sz w:val="26"/>
          <w:szCs w:val="26"/>
        </w:rPr>
      </w:pPr>
    </w:p>
    <w:p w:rsidR="008D65B8" w:rsidRDefault="008D65B8" w:rsidP="008D65B8">
      <w:pPr>
        <w:pStyle w:val="Default"/>
        <w:rPr>
          <w:color w:val="auto"/>
          <w:sz w:val="26"/>
          <w:szCs w:val="26"/>
        </w:rPr>
      </w:pPr>
      <w:r>
        <w:rPr>
          <w:b/>
          <w:bCs/>
          <w:color w:val="auto"/>
          <w:sz w:val="26"/>
          <w:szCs w:val="26"/>
        </w:rPr>
        <w:t xml:space="preserve">Art. 8 – Versement de la subvention </w:t>
      </w:r>
    </w:p>
    <w:p w:rsidR="008D65B8" w:rsidRDefault="008D65B8" w:rsidP="008D65B8">
      <w:pPr>
        <w:pStyle w:val="Default"/>
        <w:rPr>
          <w:color w:val="auto"/>
          <w:sz w:val="26"/>
          <w:szCs w:val="26"/>
        </w:rPr>
      </w:pPr>
      <w:r>
        <w:rPr>
          <w:color w:val="auto"/>
          <w:sz w:val="26"/>
          <w:szCs w:val="26"/>
        </w:rPr>
        <w:t xml:space="preserve">L’aide ne sera versée qu’après l’achèvement des travaux ou étude, sous réserve de la conformité de l’objet déposé (art. 13 du règlement communal). </w:t>
      </w:r>
    </w:p>
    <w:p w:rsidR="008D65B8" w:rsidRDefault="008D65B8" w:rsidP="006B3759">
      <w:pPr>
        <w:pStyle w:val="Default"/>
        <w:rPr>
          <w:color w:val="auto"/>
          <w:sz w:val="26"/>
          <w:szCs w:val="26"/>
        </w:rPr>
      </w:pPr>
      <w:r>
        <w:rPr>
          <w:color w:val="auto"/>
          <w:sz w:val="26"/>
          <w:szCs w:val="26"/>
        </w:rPr>
        <w:t>L’aide est créditée sur le compte désigné par le bénéficiaire, dans les 30 jours suivant la présentation du décompte final, et pour autant que les conditions de l’art. 6 des présentes directives soient remplies.</w:t>
      </w:r>
      <w:r w:rsidR="006B3759">
        <w:rPr>
          <w:color w:val="auto"/>
          <w:sz w:val="26"/>
          <w:szCs w:val="26"/>
        </w:rPr>
        <w:t xml:space="preserve"> </w:t>
      </w:r>
      <w:r>
        <w:rPr>
          <w:color w:val="auto"/>
          <w:sz w:val="26"/>
          <w:szCs w:val="26"/>
        </w:rPr>
        <w:t xml:space="preserve">Pour les achats de véhicules (voiture, scooter, vélo), le versement intervient dans les 30 jours suivant la réception de la facture d’achat. </w:t>
      </w:r>
    </w:p>
    <w:p w:rsidR="006B3759" w:rsidRDefault="006B3759" w:rsidP="006B3759">
      <w:pPr>
        <w:pStyle w:val="Default"/>
        <w:rPr>
          <w:color w:val="auto"/>
          <w:sz w:val="26"/>
          <w:szCs w:val="26"/>
        </w:rPr>
      </w:pPr>
    </w:p>
    <w:p w:rsidR="006B3759" w:rsidRDefault="006B3759" w:rsidP="006B3759">
      <w:pPr>
        <w:pStyle w:val="Default"/>
        <w:rPr>
          <w:color w:val="auto"/>
          <w:sz w:val="26"/>
          <w:szCs w:val="26"/>
        </w:rPr>
      </w:pPr>
    </w:p>
    <w:p w:rsidR="006B3759" w:rsidRDefault="006B3759" w:rsidP="006B3759">
      <w:pPr>
        <w:pStyle w:val="Default"/>
        <w:rPr>
          <w:color w:val="auto"/>
          <w:sz w:val="26"/>
          <w:szCs w:val="26"/>
        </w:rPr>
      </w:pPr>
    </w:p>
    <w:p w:rsidR="006B3759" w:rsidRDefault="006B3759" w:rsidP="006B3759">
      <w:pPr>
        <w:pStyle w:val="Default"/>
        <w:rPr>
          <w:color w:val="auto"/>
          <w:sz w:val="26"/>
          <w:szCs w:val="26"/>
        </w:rPr>
      </w:pPr>
    </w:p>
    <w:p w:rsidR="008D65B8" w:rsidRDefault="008D65B8" w:rsidP="008D65B8">
      <w:pPr>
        <w:pStyle w:val="Default"/>
        <w:rPr>
          <w:b/>
          <w:bCs/>
          <w:color w:val="auto"/>
          <w:sz w:val="26"/>
          <w:szCs w:val="26"/>
        </w:rPr>
      </w:pPr>
    </w:p>
    <w:p w:rsidR="006B3759" w:rsidRDefault="006B3759" w:rsidP="008D65B8">
      <w:pPr>
        <w:pStyle w:val="Default"/>
        <w:rPr>
          <w:b/>
          <w:bCs/>
          <w:color w:val="auto"/>
          <w:sz w:val="26"/>
          <w:szCs w:val="26"/>
        </w:rPr>
      </w:pPr>
    </w:p>
    <w:p w:rsidR="006B3759" w:rsidRDefault="006B3759" w:rsidP="008D65B8">
      <w:pPr>
        <w:pStyle w:val="Default"/>
        <w:rPr>
          <w:b/>
          <w:bCs/>
          <w:color w:val="auto"/>
          <w:sz w:val="26"/>
          <w:szCs w:val="26"/>
        </w:rPr>
      </w:pPr>
    </w:p>
    <w:p w:rsidR="008D65B8" w:rsidRDefault="008D65B8" w:rsidP="008D65B8">
      <w:pPr>
        <w:pStyle w:val="Default"/>
        <w:rPr>
          <w:color w:val="auto"/>
          <w:sz w:val="26"/>
          <w:szCs w:val="26"/>
        </w:rPr>
      </w:pPr>
      <w:r>
        <w:rPr>
          <w:b/>
          <w:bCs/>
          <w:color w:val="auto"/>
          <w:sz w:val="26"/>
          <w:szCs w:val="26"/>
        </w:rPr>
        <w:t xml:space="preserve">Art. 9 – Aliénation d’un bâtiment </w:t>
      </w:r>
    </w:p>
    <w:p w:rsidR="008D65B8" w:rsidRDefault="008D65B8" w:rsidP="008D65B8">
      <w:pPr>
        <w:pStyle w:val="Default"/>
        <w:rPr>
          <w:color w:val="auto"/>
          <w:sz w:val="26"/>
          <w:szCs w:val="26"/>
        </w:rPr>
      </w:pPr>
      <w:r>
        <w:rPr>
          <w:color w:val="auto"/>
          <w:sz w:val="26"/>
          <w:szCs w:val="26"/>
        </w:rPr>
        <w:t xml:space="preserve">Durant la validité de l’octroi de l’aide, le changement de propriétaire, par suite de succession, de vente ou de donation du bâtiment concerné doit obligatoirement être annoncé à la Commission par l’acquéreur. </w:t>
      </w:r>
    </w:p>
    <w:p w:rsidR="008D65B8" w:rsidRDefault="008D65B8" w:rsidP="008D65B8">
      <w:pPr>
        <w:pStyle w:val="Default"/>
        <w:rPr>
          <w:color w:val="auto"/>
          <w:sz w:val="26"/>
          <w:szCs w:val="26"/>
        </w:rPr>
      </w:pPr>
      <w:r>
        <w:rPr>
          <w:color w:val="auto"/>
          <w:sz w:val="26"/>
          <w:szCs w:val="26"/>
        </w:rPr>
        <w:t xml:space="preserve">En principe, l’aide octroyée est automatiquement accordée au nouveau propriétaire. </w:t>
      </w:r>
    </w:p>
    <w:p w:rsidR="008D65B8" w:rsidRDefault="008D65B8" w:rsidP="008D65B8">
      <w:pPr>
        <w:pStyle w:val="Default"/>
        <w:rPr>
          <w:b/>
          <w:bCs/>
          <w:color w:val="auto"/>
          <w:sz w:val="26"/>
          <w:szCs w:val="26"/>
        </w:rPr>
      </w:pPr>
    </w:p>
    <w:p w:rsidR="008D65B8" w:rsidRDefault="008D65B8" w:rsidP="008D65B8">
      <w:pPr>
        <w:pStyle w:val="Default"/>
        <w:rPr>
          <w:color w:val="auto"/>
          <w:sz w:val="26"/>
          <w:szCs w:val="26"/>
        </w:rPr>
      </w:pPr>
      <w:r>
        <w:rPr>
          <w:b/>
          <w:bCs/>
          <w:color w:val="auto"/>
          <w:sz w:val="26"/>
          <w:szCs w:val="26"/>
        </w:rPr>
        <w:t xml:space="preserve">Art. 10 – Restitution des subventions </w:t>
      </w:r>
    </w:p>
    <w:p w:rsidR="008D65B8" w:rsidRDefault="008D65B8" w:rsidP="008D65B8">
      <w:pPr>
        <w:pStyle w:val="Default"/>
        <w:rPr>
          <w:color w:val="auto"/>
          <w:sz w:val="26"/>
          <w:szCs w:val="26"/>
        </w:rPr>
      </w:pPr>
      <w:r>
        <w:rPr>
          <w:color w:val="auto"/>
          <w:sz w:val="26"/>
          <w:szCs w:val="26"/>
        </w:rPr>
        <w:t xml:space="preserve">Les bénéficiaires doivent restituer les subventions obtenues indûment, en trompant volontairement la Commission ou détournées de leur but. </w:t>
      </w:r>
    </w:p>
    <w:p w:rsidR="008D65B8" w:rsidRDefault="008D65B8" w:rsidP="008D65B8">
      <w:pPr>
        <w:pStyle w:val="Default"/>
        <w:rPr>
          <w:b/>
          <w:bCs/>
          <w:color w:val="auto"/>
          <w:sz w:val="26"/>
          <w:szCs w:val="26"/>
        </w:rPr>
      </w:pPr>
    </w:p>
    <w:p w:rsidR="008D65B8" w:rsidRDefault="008D65B8" w:rsidP="008D65B8">
      <w:pPr>
        <w:pStyle w:val="Default"/>
        <w:rPr>
          <w:color w:val="auto"/>
          <w:sz w:val="26"/>
          <w:szCs w:val="26"/>
        </w:rPr>
      </w:pPr>
      <w:r>
        <w:rPr>
          <w:b/>
          <w:bCs/>
          <w:color w:val="auto"/>
          <w:sz w:val="26"/>
          <w:szCs w:val="26"/>
        </w:rPr>
        <w:t xml:space="preserve">Art. 11 – Autorité de décision </w:t>
      </w:r>
    </w:p>
    <w:p w:rsidR="008D65B8" w:rsidRDefault="008D65B8" w:rsidP="008D65B8">
      <w:pPr>
        <w:pStyle w:val="Default"/>
        <w:rPr>
          <w:color w:val="auto"/>
          <w:sz w:val="26"/>
          <w:szCs w:val="26"/>
        </w:rPr>
      </w:pPr>
      <w:r>
        <w:rPr>
          <w:color w:val="auto"/>
          <w:sz w:val="26"/>
          <w:szCs w:val="26"/>
        </w:rPr>
        <w:t xml:space="preserve">Les décisions d’accord de subvention et de restitution suivent les règles usuelles en la matière. </w:t>
      </w:r>
    </w:p>
    <w:p w:rsidR="008D65B8" w:rsidRDefault="008D65B8" w:rsidP="008D65B8">
      <w:pPr>
        <w:pStyle w:val="Default"/>
        <w:rPr>
          <w:b/>
          <w:bCs/>
          <w:color w:val="auto"/>
          <w:sz w:val="26"/>
          <w:szCs w:val="26"/>
        </w:rPr>
      </w:pPr>
    </w:p>
    <w:p w:rsidR="008D65B8" w:rsidRDefault="008D65B8" w:rsidP="008D65B8">
      <w:pPr>
        <w:pStyle w:val="Default"/>
        <w:rPr>
          <w:color w:val="auto"/>
          <w:sz w:val="26"/>
          <w:szCs w:val="26"/>
        </w:rPr>
      </w:pPr>
      <w:r>
        <w:rPr>
          <w:b/>
          <w:bCs/>
          <w:color w:val="auto"/>
          <w:sz w:val="26"/>
          <w:szCs w:val="26"/>
        </w:rPr>
        <w:t xml:space="preserve">Art. 12 – Entrée en vigueur </w:t>
      </w:r>
    </w:p>
    <w:p w:rsidR="008D65B8" w:rsidRDefault="008D65B8" w:rsidP="008D65B8">
      <w:pPr>
        <w:pStyle w:val="Default"/>
        <w:rPr>
          <w:color w:val="auto"/>
          <w:sz w:val="26"/>
          <w:szCs w:val="26"/>
        </w:rPr>
      </w:pPr>
      <w:r>
        <w:rPr>
          <w:color w:val="auto"/>
          <w:sz w:val="26"/>
          <w:szCs w:val="26"/>
        </w:rPr>
        <w:t xml:space="preserve">Les présentes dispositions entrent en vigueur dès leur adoption par la Municipalité.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967"/>
        <w:gridCol w:w="2968"/>
      </w:tblGrid>
      <w:tr w:rsidR="008D65B8">
        <w:trPr>
          <w:trHeight w:val="118"/>
        </w:trPr>
        <w:tc>
          <w:tcPr>
            <w:tcW w:w="5935" w:type="dxa"/>
            <w:gridSpan w:val="2"/>
          </w:tcPr>
          <w:p w:rsidR="008D65B8" w:rsidRDefault="008D65B8">
            <w:pPr>
              <w:pStyle w:val="Default"/>
              <w:rPr>
                <w:color w:val="auto"/>
                <w:sz w:val="26"/>
                <w:szCs w:val="26"/>
              </w:rPr>
            </w:pPr>
            <w:r>
              <w:rPr>
                <w:color w:val="auto"/>
                <w:sz w:val="26"/>
                <w:szCs w:val="26"/>
              </w:rPr>
              <w:t xml:space="preserve">Adopté par la Municipalité, dans sa séance du … </w:t>
            </w:r>
          </w:p>
          <w:p w:rsidR="008D65B8" w:rsidRDefault="008D65B8">
            <w:pPr>
              <w:pStyle w:val="Default"/>
              <w:rPr>
                <w:color w:val="auto"/>
                <w:sz w:val="26"/>
                <w:szCs w:val="26"/>
              </w:rPr>
            </w:pPr>
          </w:p>
          <w:p w:rsidR="00012789" w:rsidRDefault="00012789">
            <w:pPr>
              <w:pStyle w:val="Default"/>
              <w:rPr>
                <w:color w:val="auto"/>
                <w:sz w:val="26"/>
                <w:szCs w:val="26"/>
              </w:rPr>
            </w:pPr>
          </w:p>
          <w:p w:rsidR="008D65B8" w:rsidRDefault="008D65B8">
            <w:pPr>
              <w:pStyle w:val="Default"/>
              <w:rPr>
                <w:color w:val="auto"/>
                <w:sz w:val="26"/>
                <w:szCs w:val="26"/>
              </w:rPr>
            </w:pPr>
          </w:p>
          <w:p w:rsidR="00012789" w:rsidRDefault="00012789">
            <w:pPr>
              <w:pStyle w:val="Default"/>
              <w:rPr>
                <w:color w:val="auto"/>
                <w:sz w:val="26"/>
                <w:szCs w:val="26"/>
              </w:rPr>
            </w:pPr>
          </w:p>
          <w:p w:rsidR="00012789" w:rsidRDefault="00012789">
            <w:pPr>
              <w:pStyle w:val="Default"/>
              <w:rPr>
                <w:color w:val="auto"/>
                <w:sz w:val="26"/>
                <w:szCs w:val="26"/>
              </w:rPr>
            </w:pPr>
          </w:p>
          <w:p w:rsidR="008D65B8" w:rsidRDefault="008D65B8" w:rsidP="00012789">
            <w:pPr>
              <w:pStyle w:val="Default"/>
              <w:jc w:val="center"/>
              <w:rPr>
                <w:sz w:val="26"/>
                <w:szCs w:val="26"/>
              </w:rPr>
            </w:pPr>
            <w:r>
              <w:rPr>
                <w:sz w:val="26"/>
                <w:szCs w:val="26"/>
              </w:rPr>
              <w:t>AU NOM DE LA MUNICIPALITÉ</w:t>
            </w:r>
          </w:p>
          <w:p w:rsidR="00012789" w:rsidRDefault="00012789" w:rsidP="00012789">
            <w:pPr>
              <w:pStyle w:val="Default"/>
              <w:jc w:val="center"/>
              <w:rPr>
                <w:sz w:val="26"/>
                <w:szCs w:val="26"/>
              </w:rPr>
            </w:pPr>
          </w:p>
          <w:p w:rsidR="00012789" w:rsidRDefault="00012789">
            <w:pPr>
              <w:pStyle w:val="Default"/>
              <w:rPr>
                <w:sz w:val="26"/>
                <w:szCs w:val="26"/>
              </w:rPr>
            </w:pPr>
          </w:p>
          <w:p w:rsidR="00012789" w:rsidRDefault="00012789">
            <w:pPr>
              <w:pStyle w:val="Default"/>
              <w:rPr>
                <w:sz w:val="26"/>
                <w:szCs w:val="26"/>
              </w:rPr>
            </w:pPr>
          </w:p>
          <w:p w:rsidR="00012789" w:rsidRDefault="00012789">
            <w:pPr>
              <w:pStyle w:val="Default"/>
              <w:rPr>
                <w:sz w:val="26"/>
                <w:szCs w:val="26"/>
              </w:rPr>
            </w:pPr>
          </w:p>
          <w:p w:rsidR="00012789" w:rsidRDefault="00012789">
            <w:pPr>
              <w:pStyle w:val="Default"/>
              <w:rPr>
                <w:sz w:val="26"/>
                <w:szCs w:val="26"/>
              </w:rPr>
            </w:pPr>
          </w:p>
        </w:tc>
      </w:tr>
      <w:tr w:rsidR="008D65B8">
        <w:trPr>
          <w:trHeight w:val="118"/>
        </w:trPr>
        <w:tc>
          <w:tcPr>
            <w:tcW w:w="2967" w:type="dxa"/>
          </w:tcPr>
          <w:p w:rsidR="008D65B8" w:rsidRDefault="008D65B8" w:rsidP="00012789">
            <w:pPr>
              <w:pStyle w:val="Default"/>
              <w:jc w:val="center"/>
              <w:rPr>
                <w:sz w:val="26"/>
                <w:szCs w:val="26"/>
              </w:rPr>
            </w:pPr>
            <w:r>
              <w:rPr>
                <w:sz w:val="26"/>
                <w:szCs w:val="26"/>
              </w:rPr>
              <w:t>Le syndic</w:t>
            </w:r>
          </w:p>
        </w:tc>
        <w:tc>
          <w:tcPr>
            <w:tcW w:w="2967" w:type="dxa"/>
          </w:tcPr>
          <w:p w:rsidR="008D65B8" w:rsidRDefault="008D65B8" w:rsidP="00012789">
            <w:pPr>
              <w:pStyle w:val="Default"/>
              <w:jc w:val="center"/>
              <w:rPr>
                <w:sz w:val="26"/>
                <w:szCs w:val="26"/>
              </w:rPr>
            </w:pPr>
            <w:r>
              <w:rPr>
                <w:sz w:val="26"/>
                <w:szCs w:val="26"/>
              </w:rPr>
              <w:t>Le secrétaire</w:t>
            </w:r>
          </w:p>
        </w:tc>
      </w:tr>
      <w:tr w:rsidR="008D65B8">
        <w:trPr>
          <w:trHeight w:val="118"/>
        </w:trPr>
        <w:tc>
          <w:tcPr>
            <w:tcW w:w="2967" w:type="dxa"/>
          </w:tcPr>
          <w:p w:rsidR="008D65B8" w:rsidRDefault="008D65B8">
            <w:pPr>
              <w:pStyle w:val="Default"/>
              <w:rPr>
                <w:sz w:val="26"/>
                <w:szCs w:val="26"/>
              </w:rPr>
            </w:pPr>
          </w:p>
        </w:tc>
        <w:tc>
          <w:tcPr>
            <w:tcW w:w="2967" w:type="dxa"/>
          </w:tcPr>
          <w:p w:rsidR="008D65B8" w:rsidRDefault="008D65B8">
            <w:pPr>
              <w:pStyle w:val="Default"/>
              <w:rPr>
                <w:sz w:val="26"/>
                <w:szCs w:val="26"/>
              </w:rPr>
            </w:pPr>
          </w:p>
        </w:tc>
      </w:tr>
    </w:tbl>
    <w:p w:rsidR="00D0499F" w:rsidRDefault="00D0499F"/>
    <w:sectPr w:rsidR="00D04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B8"/>
    <w:rsid w:val="00012789"/>
    <w:rsid w:val="001D215B"/>
    <w:rsid w:val="003D54D3"/>
    <w:rsid w:val="00522A6A"/>
    <w:rsid w:val="006B3759"/>
    <w:rsid w:val="008C6F15"/>
    <w:rsid w:val="008D65B8"/>
    <w:rsid w:val="00D0499F"/>
    <w:rsid w:val="00DC63FA"/>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1089CE-0444-42C1-AB5C-A1AB66C5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fr-CH"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65B8"/>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Bobst Group</Company>
  <LinksUpToDate>false</LinksUpToDate>
  <CharactersWithSpaces>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Oberhaensli Felix</dc:creator>
  <cp:keywords/>
  <dc:description/>
  <cp:lastModifiedBy>Oberhaensli Felix</cp:lastModifiedBy>
  <cp:revision>5</cp:revision>
  <dcterms:created xsi:type="dcterms:W3CDTF">2018-10-15T06:39:00Z</dcterms:created>
  <dcterms:modified xsi:type="dcterms:W3CDTF">2018-11-08T14:56:00Z</dcterms:modified>
</cp:coreProperties>
</file>